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  <w:tab w:val="left" w:pos="6681"/>
        </w:tabs>
        <w:spacing w:before="240" w:beforeLines="100" w:after="120" w:afterLines="50" w:line="288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</w:p>
    <w:p>
      <w:pPr>
        <w:tabs>
          <w:tab w:val="center" w:pos="4422"/>
          <w:tab w:val="left" w:pos="6681"/>
        </w:tabs>
        <w:spacing w:before="240" w:beforeLines="100" w:after="120" w:afterLines="50" w:line="288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《</w:t>
      </w:r>
      <w:r>
        <w:rPr>
          <w:rFonts w:hint="eastAsia" w:ascii="黑体" w:hAnsi="Times New Roman" w:eastAsia="黑体"/>
          <w:sz w:val="56"/>
          <w:szCs w:val="56"/>
          <w:lang w:val="en-US" w:eastAsia="zh-CN"/>
        </w:rPr>
        <w:t>课程名称</w:t>
      </w:r>
      <w:r>
        <w:rPr>
          <w:rFonts w:hint="eastAsia" w:ascii="黑体" w:hAnsi="Times New Roman" w:eastAsia="黑体"/>
          <w:sz w:val="56"/>
          <w:szCs w:val="56"/>
        </w:rPr>
        <w:t>》</w:t>
      </w:r>
      <w:r>
        <w:rPr>
          <w:rFonts w:hint="eastAsia" w:ascii="黑体" w:hAnsi="Times New Roman" w:eastAsia="黑体"/>
          <w:sz w:val="56"/>
          <w:szCs w:val="56"/>
          <w:lang w:val="en-US" w:eastAsia="zh-CN"/>
        </w:rPr>
        <w:t>课程</w:t>
      </w:r>
      <w:r>
        <w:rPr>
          <w:rFonts w:hint="eastAsia" w:ascii="黑体" w:hAnsi="Times New Roman" w:eastAsia="黑体"/>
          <w:sz w:val="56"/>
          <w:szCs w:val="56"/>
        </w:rPr>
        <w:t>教案</w:t>
      </w:r>
    </w:p>
    <w:p>
      <w:pPr>
        <w:jc w:val="center"/>
        <w:rPr>
          <w:rFonts w:hint="eastAsia" w:ascii="黑体" w:hAnsi="Times New Roman" w:eastAsia="黑体"/>
          <w:b/>
          <w:sz w:val="84"/>
          <w:szCs w:val="84"/>
        </w:rPr>
      </w:pPr>
    </w:p>
    <w:p>
      <w:pPr>
        <w:jc w:val="center"/>
        <w:rPr>
          <w:rFonts w:hint="eastAsia" w:ascii="黑体" w:hAnsi="Times New Roman" w:eastAsia="黑体"/>
          <w:b/>
          <w:sz w:val="84"/>
          <w:szCs w:val="84"/>
        </w:rPr>
      </w:pPr>
    </w:p>
    <w:p>
      <w:pPr>
        <w:ind w:firstLine="640"/>
        <w:rPr>
          <w:rFonts w:ascii="楷体_GB2312" w:hAnsi="Times New Roman" w:eastAsia="楷体_GB2312"/>
          <w:sz w:val="36"/>
          <w:szCs w:val="36"/>
          <w:u w:val="single"/>
        </w:rPr>
      </w:pPr>
      <w:r>
        <w:rPr>
          <w:rFonts w:hint="eastAsia" w:ascii="Times New Roman" w:hAnsi="Times New Roman" w:eastAsia="宋体"/>
          <w:sz w:val="36"/>
          <w:szCs w:val="36"/>
          <w:lang w:val="en-US" w:eastAsia="zh-CN"/>
        </w:rPr>
        <w:t>开课专业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</w:t>
      </w:r>
      <w:r>
        <w:rPr>
          <w:rFonts w:ascii="楷体_GB2312" w:hAnsi="Times New Roman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</w:t>
      </w:r>
      <w:r>
        <w:rPr>
          <w:rFonts w:hint="eastAsia" w:ascii="楷体_GB2312" w:hAnsi="Times New Roman" w:eastAsia="楷体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</w:t>
      </w:r>
      <w:r>
        <w:rPr>
          <w:rFonts w:ascii="楷体_GB2312" w:hAnsi="Times New Roman" w:eastAsia="楷体_GB2312"/>
          <w:sz w:val="36"/>
          <w:szCs w:val="36"/>
          <w:u w:val="single"/>
        </w:rPr>
        <w:t xml:space="preserve">   </w:t>
      </w:r>
    </w:p>
    <w:p>
      <w:pPr>
        <w:ind w:firstLine="640"/>
        <w:rPr>
          <w:rFonts w:hint="eastAsia" w:ascii="Times New Roman" w:hAnsi="Times New Roman" w:eastAsia="楷体_GB2312"/>
          <w:sz w:val="36"/>
          <w:szCs w:val="36"/>
          <w:u w:val="single"/>
        </w:rPr>
      </w:pPr>
      <w:r>
        <w:rPr>
          <w:rFonts w:hint="eastAsia" w:ascii="Times New Roman" w:hAnsi="Times New Roman" w:eastAsia="宋体"/>
          <w:sz w:val="36"/>
          <w:szCs w:val="36"/>
        </w:rPr>
        <w:t>授课</w:t>
      </w:r>
      <w:r>
        <w:rPr>
          <w:rFonts w:hint="eastAsia" w:ascii="Times New Roman" w:hAnsi="Times New Roman" w:eastAsia="宋体"/>
          <w:sz w:val="36"/>
          <w:szCs w:val="36"/>
          <w:lang w:val="en-US" w:eastAsia="zh-CN"/>
        </w:rPr>
        <w:t>时间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Times New Roman" w:eastAsia="楷体_GB2312"/>
          <w:sz w:val="36"/>
          <w:szCs w:val="36"/>
          <w:u w:val="single"/>
          <w:lang w:val="en-US" w:eastAsia="zh-CN"/>
        </w:rPr>
        <w:t xml:space="preserve"> XX-XX学年第XX学期</w:t>
      </w:r>
      <w:r>
        <w:rPr>
          <w:rFonts w:ascii="楷体_GB2312" w:hAnsi="Times New Roman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</w:t>
      </w:r>
    </w:p>
    <w:p>
      <w:pPr>
        <w:ind w:firstLine="640"/>
        <w:rPr>
          <w:rFonts w:hint="eastAsia" w:ascii="Times New Roman" w:hAnsi="Times New Roman" w:eastAsia="楷体_GB2312"/>
          <w:sz w:val="36"/>
          <w:szCs w:val="36"/>
        </w:rPr>
      </w:pPr>
      <w:r>
        <w:rPr>
          <w:rFonts w:hint="eastAsia" w:ascii="Times New Roman" w:hAnsi="Times New Roman" w:eastAsia="宋体"/>
          <w:sz w:val="36"/>
          <w:szCs w:val="36"/>
          <w:lang w:val="en-US" w:eastAsia="zh-CN"/>
        </w:rPr>
        <w:t>授课教师</w:t>
      </w:r>
      <w:r>
        <w:rPr>
          <w:rFonts w:hint="eastAsia" w:ascii="Times New Roman" w:hAnsi="Times New Roman" w:eastAsia="宋体"/>
          <w:sz w:val="36"/>
          <w:szCs w:val="36"/>
          <w:u w:val="single"/>
        </w:rPr>
        <w:t xml:space="preserve">    </w:t>
      </w:r>
      <w:r>
        <w:rPr>
          <w:rFonts w:hint="eastAsia" w:ascii="华文仿宋" w:hAnsi="华文仿宋" w:eastAsia="华文仿宋"/>
          <w:sz w:val="36"/>
          <w:szCs w:val="36"/>
          <w:u w:val="single"/>
        </w:rPr>
        <w:t xml:space="preserve"> </w:t>
      </w:r>
      <w:r>
        <w:rPr>
          <w:rFonts w:hint="eastAsia" w:ascii="华文仿宋" w:hAnsi="华文仿宋" w:eastAsia="华文仿宋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楷体_GB2312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6"/>
          <w:szCs w:val="36"/>
          <w:u w:val="single"/>
        </w:rPr>
        <w:t xml:space="preserve"> </w:t>
      </w:r>
    </w:p>
    <w:p>
      <w:pPr>
        <w:ind w:firstLine="640"/>
        <w:rPr>
          <w:rFonts w:hint="eastAsia" w:ascii="Times New Roman" w:hAnsi="Times New Roman" w:eastAsia="宋体"/>
          <w:sz w:val="36"/>
          <w:szCs w:val="36"/>
        </w:rPr>
      </w:pPr>
      <w:r>
        <w:rPr>
          <w:rFonts w:hint="eastAsia" w:ascii="Times New Roman" w:hAnsi="Times New Roman" w:eastAsia="宋体"/>
          <w:sz w:val="36"/>
          <w:szCs w:val="36"/>
          <w:lang w:val="en-US" w:eastAsia="zh-CN"/>
        </w:rPr>
        <w:t>使用教材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</w:t>
      </w:r>
      <w:r>
        <w:rPr>
          <w:rFonts w:ascii="楷体_GB2312" w:hAnsi="Times New Roman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         </w:t>
      </w:r>
      <w:r>
        <w:rPr>
          <w:rFonts w:ascii="楷体_GB2312" w:hAnsi="Times New Roman" w:eastAsia="楷体_GB2312"/>
          <w:sz w:val="36"/>
          <w:szCs w:val="36"/>
          <w:u w:val="single"/>
        </w:rPr>
        <w:t xml:space="preserve"> </w:t>
      </w:r>
      <w:r>
        <w:rPr>
          <w:rFonts w:hint="eastAsia" w:ascii="楷体_GB2312" w:hAnsi="Times New Roman" w:eastAsia="楷体_GB2312"/>
          <w:sz w:val="36"/>
          <w:szCs w:val="36"/>
          <w:u w:val="single"/>
        </w:rPr>
        <w:t xml:space="preserve">         </w:t>
      </w:r>
    </w:p>
    <w:p>
      <w:pPr>
        <w:jc w:val="center"/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  <w:t>XXX</w:t>
      </w:r>
      <w:r>
        <w:rPr>
          <w:rFonts w:hint="eastAsia" w:ascii="Times New Roman" w:hAnsi="Times New Roman" w:eastAsia="宋体"/>
          <w:b/>
          <w:sz w:val="44"/>
          <w:szCs w:val="44"/>
        </w:rPr>
        <w:t>学院</w:t>
      </w:r>
    </w:p>
    <w:p>
      <w:pPr>
        <w:jc w:val="center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20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sz w:val="32"/>
          <w:szCs w:val="32"/>
        </w:rPr>
        <w:t>年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sz w:val="32"/>
          <w:szCs w:val="32"/>
        </w:rPr>
        <w:t>月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/>
          <w:sz w:val="32"/>
          <w:szCs w:val="32"/>
        </w:rPr>
        <w:t>日</w:t>
      </w:r>
    </w:p>
    <w:p>
      <w:pPr>
        <w:rPr>
          <w:rFonts w:ascii="Times New Roman" w:hAnsi="Times New Roman" w:eastAsia="宋体"/>
          <w:szCs w:val="24"/>
        </w:rPr>
      </w:pPr>
    </w:p>
    <w:p>
      <w:pPr>
        <w:tabs>
          <w:tab w:val="center" w:pos="4422"/>
          <w:tab w:val="left" w:pos="6681"/>
        </w:tabs>
        <w:spacing w:before="240" w:beforeLines="100" w:after="120" w:afterLines="50" w:line="288" w:lineRule="auto"/>
        <w:jc w:val="both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课程名称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课程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sz w:val="28"/>
          <w:szCs w:val="28"/>
        </w:rPr>
        <w:t>教案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13" w:afterLines="100" w:line="288" w:lineRule="auto"/>
        <w:jc w:val="left"/>
        <w:textAlignment w:val="auto"/>
        <w:outlineLvl w:val="9"/>
        <w:rPr>
          <w:rFonts w:ascii="楷体" w:hAnsi="楷体" w:eastAsia="楷体"/>
          <w:b/>
          <w:color w:val="002060"/>
          <w:sz w:val="28"/>
          <w:szCs w:val="28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教学</w:t>
      </w:r>
      <w:r>
        <w:rPr>
          <w:rFonts w:hint="eastAsia" w:ascii="黑体" w:hAnsi="黑体" w:eastAsia="黑体" w:cs="黑体"/>
          <w:b/>
          <w:sz w:val="24"/>
          <w:szCs w:val="24"/>
        </w:rPr>
        <w:t>分析</w:t>
      </w:r>
    </w:p>
    <w:tbl>
      <w:tblPr>
        <w:tblStyle w:val="6"/>
        <w:tblW w:w="9215" w:type="dxa"/>
        <w:jc w:val="center"/>
        <w:tblBorders>
          <w:top w:val="dashSmallGap" w:color="244061" w:sz="4" w:space="0"/>
          <w:left w:val="dashSmallGap" w:color="244061" w:sz="4" w:space="0"/>
          <w:bottom w:val="dashSmallGap" w:color="244061" w:sz="4" w:space="0"/>
          <w:right w:val="dashSmallGap" w:color="244061" w:sz="4" w:space="0"/>
          <w:insideH w:val="dashSmallGap" w:color="244061" w:sz="4" w:space="0"/>
          <w:insideV w:val="dashSmallGap" w:color="24406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3139"/>
        <w:gridCol w:w="1290"/>
        <w:gridCol w:w="2942"/>
      </w:tblGrid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授课信息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授课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教学单元名称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>
            <w:pPr>
              <w:spacing w:line="264" w:lineRule="auto"/>
              <w:ind w:right="-101" w:rightChars="-48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教学场所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教学环境满足需求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授课形式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授课学时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教材</w:t>
            </w:r>
          </w:p>
        </w:tc>
        <w:tc>
          <w:tcPr>
            <w:tcW w:w="3139" w:type="dxa"/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both"/>
              <w:textAlignment w:val="auto"/>
              <w:outlineLvl w:val="9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教材选用符合《职业院校教材</w:t>
            </w:r>
            <w:r>
              <w:rPr>
                <w:rFonts w:hint="eastAsia"/>
                <w:color w:val="FF0000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FF0000"/>
                <w:sz w:val="24"/>
                <w:szCs w:val="28"/>
              </w:rPr>
              <w:t>办法》等文件规定和要求，探索</w:t>
            </w: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使用</w:t>
            </w:r>
            <w:r>
              <w:rPr>
                <w:rFonts w:hint="eastAsia" w:ascii="宋体" w:hAnsi="宋体"/>
                <w:color w:val="FF0000"/>
                <w:sz w:val="24"/>
                <w:szCs w:val="28"/>
              </w:rPr>
              <w:t>新型活页式、工作手册式教材并配套信息化资源，引入典型生产案例</w:t>
            </w:r>
            <w:r>
              <w:rPr>
                <w:rFonts w:hint="eastAsia" w:ascii="宋体" w:hAnsi="宋体"/>
                <w:color w:val="FF0000"/>
                <w:sz w:val="24"/>
                <w:szCs w:val="28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课程标准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单元分析</w:t>
            </w:r>
          </w:p>
          <w:p>
            <w:pPr>
              <w:spacing w:line="264" w:lineRule="auto"/>
              <w:jc w:val="center"/>
              <w:rPr>
                <w:rFonts w:hint="eastAsia" w:ascii="等线" w:hAnsi="等线" w:eastAsia="等线" w:cs="Times New Roman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等线" w:hAnsi="等线" w:eastAsia="等线" w:cs="Times New Roman"/>
                <w:color w:val="4472C4" w:themeColor="accent5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  <w:t>依据课程标准，就本教学单元在该课程（或该任务）中的地位、作用进行简明扼要的分析。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9215" w:type="dxa"/>
            <w:gridSpan w:val="5"/>
            <w:tcBorders>
              <w:bottom w:val="dashSmallGap" w:color="244061" w:sz="4" w:space="0"/>
            </w:tcBorders>
            <w:shd w:val="clear" w:color="auto" w:fill="FFFFFF" w:themeFill="background1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学情分析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客观分析学生的知识和技能基础、认知和实践能力、学习特点等，详实反映学生整体与个体情况数据，准确预判教学难点及其掌握可能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知识基础</w:t>
            </w:r>
          </w:p>
        </w:tc>
        <w:tc>
          <w:tcPr>
            <w:tcW w:w="8080" w:type="dxa"/>
            <w:gridSpan w:val="4"/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认知能力</w:t>
            </w:r>
          </w:p>
        </w:tc>
        <w:tc>
          <w:tcPr>
            <w:tcW w:w="8080" w:type="dxa"/>
            <w:gridSpan w:val="4"/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bottom w:val="dashSmallGap" w:color="244061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学习特点</w:t>
            </w:r>
          </w:p>
        </w:tc>
        <w:tc>
          <w:tcPr>
            <w:tcW w:w="8080" w:type="dxa"/>
            <w:gridSpan w:val="4"/>
            <w:tcBorders>
              <w:bottom w:val="dashSmallGap" w:color="244061" w:sz="4" w:space="0"/>
            </w:tcBorders>
            <w:shd w:val="clear" w:color="auto" w:fill="FFFFFF" w:themeFill="background1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教学目标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教学目标表述明确、相互关联，重点突出、可评可测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知识目标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rFonts w:hint="eastAsia" w:eastAsia="等线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用“了解、熟悉、理解……”等表述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能力目标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4249"/>
              </w:tabs>
              <w:spacing w:before="73"/>
              <w:jc w:val="both"/>
              <w:rPr>
                <w:bCs/>
                <w:color w:val="4472C4" w:themeColor="accent5"/>
                <w:sz w:val="21"/>
                <w:szCs w:val="21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用“能或会+程度副词+操作动词+操作对象”描述。如“能熟练操作XXX</w:t>
            </w:r>
            <w:r>
              <w:rPr>
                <w:rFonts w:hint="default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”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bottom w:val="dashSmallGap" w:color="244061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素质目标</w:t>
            </w:r>
          </w:p>
        </w:tc>
        <w:tc>
          <w:tcPr>
            <w:tcW w:w="8080" w:type="dxa"/>
            <w:gridSpan w:val="4"/>
            <w:tcBorders>
              <w:bottom w:val="dashSmallGap" w:color="244061" w:sz="4" w:space="0"/>
            </w:tcBorders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bCs/>
                <w:color w:val="4472C4" w:themeColor="accent5"/>
                <w:sz w:val="21"/>
                <w:szCs w:val="21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采用“形成”、“养成”、“增强”、“提升”、”树立”、 “构建”等动词进行描述，素质目标必须体现课程思政，落实立德树人根本任务，强调劳动精神、创新精神、工匠精神等的养成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教学内容</w:t>
            </w:r>
          </w:p>
          <w:p>
            <w:pPr>
              <w:spacing w:line="264" w:lineRule="auto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1</w:t>
            </w:r>
            <w:r>
              <w:rPr>
                <w:rFonts w:hint="eastAsia"/>
                <w:color w:val="FF0000"/>
                <w:lang w:val="en-US" w:eastAsia="zh-CN"/>
              </w:rPr>
              <w:t>.</w:t>
            </w:r>
            <w:bookmarkStart w:id="0" w:name="_Hlk44359470"/>
            <w:r>
              <w:rPr>
                <w:rFonts w:hint="eastAsia"/>
                <w:color w:val="FF0000"/>
                <w:lang w:val="en-US" w:eastAsia="zh-CN"/>
              </w:rPr>
              <w:t>深入挖掘课程思政元素，有机融入课程教学</w:t>
            </w:r>
            <w:bookmarkEnd w:id="0"/>
            <w:r>
              <w:rPr>
                <w:rFonts w:hint="eastAsia"/>
                <w:color w:val="FF0000"/>
                <w:lang w:val="en-US" w:eastAsia="zh-CN"/>
              </w:rPr>
              <w:t>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spacing w:line="264" w:lineRule="auto"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2.教学内容有效支撑教学目标的实现，选择科学严谨、容量适度，安排合理、衔接有序、结构清晰。实训教学内容源于真实工作任务、项目或工作流程、过程等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。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重点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难点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rFonts w:hint="eastAsia" w:eastAsia="等线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重要的知识点、技能点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处理方法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rFonts w:hint="eastAsia" w:eastAsia="等线"/>
                <w:bCs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Cs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最好能用数字资源、信息化手段辅助解决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rFonts w:hint="eastAsia" w:eastAsia="等线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难以掌握的知识、技能点</w:t>
            </w:r>
          </w:p>
        </w:tc>
      </w:tr>
      <w:tr>
        <w:tblPrEx>
          <w:tblBorders>
            <w:top w:val="dashSmallGap" w:color="244061" w:sz="4" w:space="0"/>
            <w:left w:val="dashSmallGap" w:color="244061" w:sz="4" w:space="0"/>
            <w:bottom w:val="dashSmallGap" w:color="244061" w:sz="4" w:space="0"/>
            <w:right w:val="dashSmallGap" w:color="244061" w:sz="4" w:space="0"/>
            <w:insideH w:val="dashSmallGap" w:color="244061" w:sz="4" w:space="0"/>
            <w:insideV w:val="dashSmallGap" w:color="24406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处理方法</w:t>
            </w:r>
          </w:p>
        </w:tc>
        <w:tc>
          <w:tcPr>
            <w:tcW w:w="8080" w:type="dxa"/>
            <w:gridSpan w:val="4"/>
            <w:shd w:val="clear" w:color="auto" w:fill="FFFFFF" w:themeFill="background1"/>
          </w:tcPr>
          <w:p>
            <w:pPr>
              <w:pStyle w:val="10"/>
              <w:tabs>
                <w:tab w:val="left" w:pos="4249"/>
              </w:tabs>
              <w:spacing w:before="73"/>
              <w:jc w:val="both"/>
              <w:rPr>
                <w:rFonts w:hint="eastAsia"/>
                <w:bCs/>
                <w:color w:val="4472C4" w:themeColor="accent5"/>
                <w:sz w:val="21"/>
                <w:szCs w:val="21"/>
                <w:lang w:val="en-US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  <w:bCs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最好能用数字资源、信息化手段辅助解决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13" w:afterLines="100" w:line="288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教学策略</w:t>
      </w:r>
    </w:p>
    <w:tbl>
      <w:tblPr>
        <w:tblStyle w:val="6"/>
        <w:tblW w:w="9215" w:type="dxa"/>
        <w:jc w:val="center"/>
        <w:tblBorders>
          <w:top w:val="dashSmallGap" w:color="002060" w:sz="6" w:space="0"/>
          <w:left w:val="dashSmallGap" w:color="002060" w:sz="6" w:space="0"/>
          <w:bottom w:val="dashSmallGap" w:color="002060" w:sz="6" w:space="0"/>
          <w:right w:val="dashSmallGap" w:color="002060" w:sz="6" w:space="0"/>
          <w:insideH w:val="dashSmallGap" w:color="002060" w:sz="6" w:space="0"/>
          <w:insideV w:val="dashSmallGap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设计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理念</w:t>
            </w:r>
          </w:p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体现先进教育思想和教学理念，遵循学生认知规律，符合课堂教学实际。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215" w:type="dxa"/>
            <w:tcBorders>
              <w:bottom w:val="dashSmallGap" w:color="002060" w:sz="6" w:space="0"/>
            </w:tcBorders>
            <w:shd w:val="clear" w:color="auto" w:fill="FFFFFF" w:themeFill="background1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教学方法</w:t>
            </w:r>
            <w:r>
              <w:rPr>
                <w:rFonts w:hint="eastAsia"/>
                <w:b/>
                <w:lang w:val="en-US" w:eastAsia="zh-CN"/>
              </w:rPr>
              <w:t>与手段</w:t>
            </w:r>
          </w:p>
          <w:p>
            <w:pPr>
              <w:spacing w:line="264" w:lineRule="auto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根据教学内容和学生学习特点科学选择教学方法和手段，强调信息化教学手段和数字资源的利用，能够针对学习反馈及时调整教学方法，突出学生中心，实行因材施教，关注重点、难点的解决，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921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ind w:left="1260" w:hanging="1260" w:hangingChars="600"/>
              <w:rPr>
                <w:bCs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  <w:p>
            <w:pPr>
              <w:spacing w:line="264" w:lineRule="auto"/>
              <w:jc w:val="center"/>
              <w:rPr>
                <w:rFonts w:hint="eastAsia" w:eastAsia="等线"/>
                <w:b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能学辅教的数字资源和信息化教学手段，并能合理运用信息技术、数字资源、信息化教学设施设备提高教学与管理成效。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9215" w:type="dxa"/>
            <w:shd w:val="clear" w:color="auto" w:fill="FFFFFF" w:themeFill="background1"/>
            <w:vAlign w:val="center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5" w:type="dxa"/>
            <w:tcBorders>
              <w:bottom w:val="dashSmallGap" w:color="002060" w:sz="6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教学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评价</w:t>
            </w:r>
          </w:p>
          <w:p>
            <w:pPr>
              <w:spacing w:line="264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关注教与学全过程信息采集，针对目标要求开展考核与评价，强调过程评价。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9215" w:type="dxa"/>
            <w:shd w:val="clear" w:color="auto" w:fill="FFFFFF" w:themeFill="background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/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13" w:afterLines="100" w:line="288" w:lineRule="auto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教学过程</w:t>
      </w:r>
    </w:p>
    <w:p>
      <w:pPr>
        <w:spacing w:line="264" w:lineRule="auto"/>
        <w:ind w:firstLine="420" w:firstLineChars="200"/>
        <w:jc w:val="left"/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1.应用混合教学模式，系统优化教学过程，设计流程，按照教学策略设计教学过程，使用方法和手段设，关注重点、难点的解决，突出学生中心，实行因材施教，注重教学全过程评价。</w:t>
      </w:r>
    </w:p>
    <w:p>
      <w:pPr>
        <w:spacing w:line="264" w:lineRule="auto"/>
        <w:ind w:firstLine="420" w:firstLineChars="20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2.合理运用云计算、大数据、物联网、虚拟仿真、增强现实、人工智能、区块链等信息技术以及数字资源、信息化教学设施设备改造传统教学与实践方式、提高管理成效。</w:t>
      </w:r>
    </w:p>
    <w:tbl>
      <w:tblPr>
        <w:tblStyle w:val="6"/>
        <w:tblW w:w="9154" w:type="dxa"/>
        <w:jc w:val="center"/>
        <w:tblBorders>
          <w:top w:val="dashSmallGap" w:color="002060" w:sz="6" w:space="0"/>
          <w:left w:val="dashSmallGap" w:color="002060" w:sz="6" w:space="0"/>
          <w:bottom w:val="dashSmallGap" w:color="002060" w:sz="6" w:space="0"/>
          <w:right w:val="dashSmallGap" w:color="002060" w:sz="6" w:space="0"/>
          <w:insideH w:val="dashSmallGap" w:color="002060" w:sz="6" w:space="0"/>
          <w:insideV w:val="dashSmallGap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541"/>
        <w:gridCol w:w="2162"/>
        <w:gridCol w:w="2513"/>
        <w:gridCol w:w="95"/>
        <w:gridCol w:w="1832"/>
      </w:tblGrid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4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课前预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 w:cs="Times New Roman"/>
                <w:b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/>
                <w:color w:val="4472C4" w:themeColor="accent5"/>
                <w:sz w:val="21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 xml:space="preserve"> 课前自主学习设计一般要包括三方面内容，一方面是学习指南，学习指南包括课题名称、要达成的目标、学习方法建议和课堂形式预告（找寻自主学习和课堂学习的关系，从而主动完成自学习）；第二方面是学习任务，建议将任务转化为问题，作为学生自主学习向导，并提供足够的完成任务的学习资源和方便的资源链接；第三方面是学生自主学习后，填写相应的学情表格，特别是困惑或建议。</w:t>
            </w:r>
          </w:p>
          <w:p>
            <w:pPr>
              <w:jc w:val="left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环节与内容</w:t>
            </w:r>
          </w:p>
        </w:tc>
        <w:tc>
          <w:tcPr>
            <w:tcW w:w="216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教师活动</w:t>
            </w:r>
          </w:p>
        </w:tc>
        <w:tc>
          <w:tcPr>
            <w:tcW w:w="260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学生活动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设计意图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6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shd w:val="clear" w:color="auto" w:fill="FFFFFF" w:themeFill="background1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552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62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08" w:type="dxa"/>
            <w:gridSpan w:val="2"/>
            <w:shd w:val="clear" w:color="auto" w:fill="FFFFFF" w:themeFill="background1"/>
            <w:vAlign w:val="center"/>
          </w:tcPr>
          <w:p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>
            <w:pPr>
              <w:spacing w:line="264" w:lineRule="auto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4" w:type="dxa"/>
            <w:gridSpan w:val="6"/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hint="eastAsia" w:eastAsia="等线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课中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内化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环节与内容</w:t>
            </w:r>
          </w:p>
        </w:tc>
        <w:tc>
          <w:tcPr>
            <w:tcW w:w="270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教师活动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学生活动</w:t>
            </w:r>
          </w:p>
        </w:tc>
        <w:tc>
          <w:tcPr>
            <w:tcW w:w="192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设计意图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01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011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4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课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后提升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环节与内容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教师活动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学生活动</w:t>
            </w:r>
          </w:p>
        </w:tc>
        <w:tc>
          <w:tcPr>
            <w:tcW w:w="192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设计意图</w:t>
            </w: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  <w:tr>
        <w:tblPrEx>
          <w:tblBorders>
            <w:top w:val="dashSmallGap" w:color="002060" w:sz="6" w:space="0"/>
            <w:left w:val="dashSmallGap" w:color="002060" w:sz="6" w:space="0"/>
            <w:bottom w:val="dashSmallGap" w:color="002060" w:sz="6" w:space="0"/>
            <w:right w:val="dashSmallGap" w:color="002060" w:sz="6" w:space="0"/>
            <w:insideH w:val="dashSmallGap" w:color="002060" w:sz="6" w:space="0"/>
            <w:insideV w:val="dashSmallGap" w:color="002060" w:sz="6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2513" w:type="dxa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  <w:tc>
          <w:tcPr>
            <w:tcW w:w="1927" w:type="dxa"/>
            <w:gridSpan w:val="2"/>
            <w:shd w:val="clear" w:color="auto" w:fill="FFFFFF" w:themeFill="background1"/>
          </w:tcPr>
          <w:p>
            <w:pPr>
              <w:spacing w:line="264" w:lineRule="auto"/>
              <w:jc w:val="both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13" w:afterLines="100" w:line="288" w:lineRule="auto"/>
        <w:ind w:firstLine="441" w:firstLineChars="183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教学反思</w:t>
      </w:r>
    </w:p>
    <w:p>
      <w:pPr>
        <w:spacing w:line="264" w:lineRule="auto"/>
        <w:jc w:val="center"/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 xml:space="preserve"> 针对本次课分析教学中存在的主要问题，提出相应的提升教学效果的举措。</w:t>
      </w:r>
    </w:p>
    <w:tbl>
      <w:tblPr>
        <w:tblStyle w:val="7"/>
        <w:tblW w:w="931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272" w:type="dxa"/>
            <w:vAlign w:val="center"/>
          </w:tcPr>
          <w:p>
            <w:pPr>
              <w:numPr>
                <w:ilvl w:val="0"/>
                <w:numId w:val="0"/>
              </w:numPr>
              <w:spacing w:before="240" w:beforeLines="100"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不足</w:t>
            </w:r>
          </w:p>
        </w:tc>
        <w:tc>
          <w:tcPr>
            <w:tcW w:w="7043" w:type="dxa"/>
          </w:tcPr>
          <w:p>
            <w:pPr>
              <w:numPr>
                <w:ilvl w:val="0"/>
                <w:numId w:val="0"/>
              </w:numPr>
              <w:spacing w:before="240" w:beforeLines="100" w:line="288" w:lineRule="auto"/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272" w:type="dxa"/>
            <w:vAlign w:val="center"/>
          </w:tcPr>
          <w:p>
            <w:pPr>
              <w:numPr>
                <w:ilvl w:val="0"/>
                <w:numId w:val="0"/>
              </w:numPr>
              <w:spacing w:before="240" w:beforeLines="100"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改进策略</w:t>
            </w:r>
          </w:p>
        </w:tc>
        <w:tc>
          <w:tcPr>
            <w:tcW w:w="7043" w:type="dxa"/>
          </w:tcPr>
          <w:p>
            <w:pPr>
              <w:numPr>
                <w:ilvl w:val="0"/>
                <w:numId w:val="0"/>
              </w:numPr>
              <w:spacing w:before="240" w:beforeLines="100" w:line="288" w:lineRule="auto"/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240" w:beforeLines="100" w:line="288" w:lineRule="auto"/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6BD41-CB6E-4376-8C0E-007D0025FF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41BA47-C7D0-4B2A-AE86-05ECE411D5D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F68380E-0513-4254-A6F5-24608BAC43C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DB8FD4B-7C73-41CC-B358-E4D684C5B0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BE33A5-848E-4401-8C6F-637119069DAE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5B640748-A9D4-4EB3-A78F-CFE785684A8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267DC4D5-22F8-4779-B870-1DAD8B34B73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496D7046-7396-433D-8FA1-7F59AF6B8D9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outlineLvl w:val="0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/>
        <w:sz w:val="21"/>
        <w:szCs w:val="21"/>
        <w:lang w:val="en-US" w:eastAsia="zh-CN"/>
      </w:rPr>
      <w:t>海南职业技术学院教案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DD672"/>
    <w:multiLevelType w:val="singleLevel"/>
    <w:tmpl w:val="B48DD6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845B55"/>
    <w:multiLevelType w:val="singleLevel"/>
    <w:tmpl w:val="2E845B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82344C"/>
    <w:multiLevelType w:val="singleLevel"/>
    <w:tmpl w:val="488234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3A96"/>
    <w:rsid w:val="01265B52"/>
    <w:rsid w:val="013A7998"/>
    <w:rsid w:val="02D132FE"/>
    <w:rsid w:val="03C97785"/>
    <w:rsid w:val="08D45C37"/>
    <w:rsid w:val="097A7D31"/>
    <w:rsid w:val="09BB4958"/>
    <w:rsid w:val="09C20F1E"/>
    <w:rsid w:val="0C5B38EE"/>
    <w:rsid w:val="121A1BA3"/>
    <w:rsid w:val="147769C8"/>
    <w:rsid w:val="15342592"/>
    <w:rsid w:val="15461A6D"/>
    <w:rsid w:val="17DA46A8"/>
    <w:rsid w:val="18810A36"/>
    <w:rsid w:val="18DA0062"/>
    <w:rsid w:val="19C80444"/>
    <w:rsid w:val="1A491ED0"/>
    <w:rsid w:val="203E5922"/>
    <w:rsid w:val="209B108A"/>
    <w:rsid w:val="22A94D10"/>
    <w:rsid w:val="238E3214"/>
    <w:rsid w:val="25927E66"/>
    <w:rsid w:val="26294DE6"/>
    <w:rsid w:val="26684502"/>
    <w:rsid w:val="291320F1"/>
    <w:rsid w:val="29146928"/>
    <w:rsid w:val="2B4A4D1F"/>
    <w:rsid w:val="2B7B345C"/>
    <w:rsid w:val="2F225627"/>
    <w:rsid w:val="2FD22F8E"/>
    <w:rsid w:val="304F021E"/>
    <w:rsid w:val="34B9511B"/>
    <w:rsid w:val="357C6667"/>
    <w:rsid w:val="359750F7"/>
    <w:rsid w:val="3625401F"/>
    <w:rsid w:val="370C3A96"/>
    <w:rsid w:val="37957F62"/>
    <w:rsid w:val="3BF602CC"/>
    <w:rsid w:val="48E82F93"/>
    <w:rsid w:val="4905610A"/>
    <w:rsid w:val="4CEC3E3D"/>
    <w:rsid w:val="4E5956AD"/>
    <w:rsid w:val="4FB55256"/>
    <w:rsid w:val="55E851F8"/>
    <w:rsid w:val="57A424B0"/>
    <w:rsid w:val="59FF31C7"/>
    <w:rsid w:val="5F036A9D"/>
    <w:rsid w:val="6019035C"/>
    <w:rsid w:val="60E856F5"/>
    <w:rsid w:val="616B4731"/>
    <w:rsid w:val="629861FA"/>
    <w:rsid w:val="649F1C88"/>
    <w:rsid w:val="68EF0C40"/>
    <w:rsid w:val="6A3A151C"/>
    <w:rsid w:val="6F491A9A"/>
    <w:rsid w:val="70CC0946"/>
    <w:rsid w:val="72195285"/>
    <w:rsid w:val="73C62A9F"/>
    <w:rsid w:val="7962632D"/>
    <w:rsid w:val="7E2514A2"/>
    <w:rsid w:val="7F84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4</Pages>
  <Words>258</Words>
  <Characters>258</Characters>
  <Lines>0</Lines>
  <Paragraphs>0</Paragraphs>
  <TotalTime>15</TotalTime>
  <ScaleCrop>false</ScaleCrop>
  <LinksUpToDate>false</LinksUpToDate>
  <CharactersWithSpaces>262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2020-07-25T02:30:00Z</dcterms:created>
  <dc:creator>JW15</dc:creator>
  <cp:lastModifiedBy>珏</cp:lastModifiedBy>
  <dcterms:modified xsi:type="dcterms:W3CDTF">2021-09-08T09:56:35Z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23034BDCCED7414CB069D6FF2648DFC7</vt:lpwstr>
  </property>
</Properties>
</file>